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0D8B50A2"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572F54E" w:rsidR="00A70556" w:rsidRDefault="00D40271" w:rsidP="0034573D">
            <w:pPr>
              <w:spacing w:after="0" w:line="276" w:lineRule="auto"/>
            </w:pPr>
            <w:r w:rsidRPr="00D40271">
              <w:t>Planeación, Coordinación y Gestión para la Vivienda en Sinaloa</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2DDA018D" w:rsidR="00B861E0" w:rsidRPr="00A70556" w:rsidRDefault="00B861E0" w:rsidP="00D40271">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r w:rsidR="00D40271">
              <w:rPr>
                <w:b/>
                <w:bCs/>
              </w:rPr>
              <w:t xml:space="preserve"> </w:t>
            </w:r>
          </w:p>
        </w:tc>
        <w:tc>
          <w:tcPr>
            <w:tcW w:w="5206" w:type="dxa"/>
            <w:gridSpan w:val="2"/>
            <w:shd w:val="clear" w:color="auto" w:fill="F2F2F2" w:themeFill="background1" w:themeFillShade="F2"/>
            <w:vAlign w:val="center"/>
          </w:tcPr>
          <w:p w14:paraId="69C20C49" w14:textId="5BBF20EA" w:rsidR="00B861E0" w:rsidRPr="00A70556" w:rsidRDefault="00B861E0" w:rsidP="00D40271">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r w:rsidR="00D40271">
              <w:rPr>
                <w:b/>
                <w:bCs/>
              </w:rPr>
              <w:t xml:space="preserve"> </w:t>
            </w:r>
          </w:p>
        </w:tc>
      </w:tr>
      <w:tr w:rsidR="00B861E0" w:rsidRPr="00DD471B" w14:paraId="1D014C1E" w14:textId="77777777" w:rsidTr="009F4211">
        <w:trPr>
          <w:trHeight w:val="340"/>
        </w:trPr>
        <w:tc>
          <w:tcPr>
            <w:tcW w:w="4712" w:type="dxa"/>
            <w:gridSpan w:val="2"/>
            <w:shd w:val="clear" w:color="auto" w:fill="auto"/>
            <w:vAlign w:val="center"/>
          </w:tcPr>
          <w:p w14:paraId="404D8B68" w14:textId="5E8D753D" w:rsidR="00B861E0" w:rsidRPr="00DD471B" w:rsidRDefault="007A1745" w:rsidP="00A123E6">
            <w:pPr>
              <w:spacing w:after="0" w:line="276" w:lineRule="auto"/>
              <w:jc w:val="center"/>
            </w:pPr>
            <w:r w:rsidRPr="00DD471B">
              <w:t>21 de octubre de 2024</w:t>
            </w:r>
          </w:p>
        </w:tc>
        <w:tc>
          <w:tcPr>
            <w:tcW w:w="5206" w:type="dxa"/>
            <w:gridSpan w:val="2"/>
            <w:shd w:val="clear" w:color="auto" w:fill="auto"/>
            <w:vAlign w:val="center"/>
          </w:tcPr>
          <w:p w14:paraId="79E9E4F4" w14:textId="61A667E2" w:rsidR="00B861E0" w:rsidRPr="00DD471B" w:rsidRDefault="00FB332F" w:rsidP="00A123E6">
            <w:pPr>
              <w:spacing w:after="0" w:line="276" w:lineRule="auto"/>
              <w:jc w:val="center"/>
            </w:pPr>
            <w:r w:rsidRPr="00DD471B">
              <w:t>15 de enero de 2025</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423F6EC8"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r w:rsidR="00D40271">
              <w:rPr>
                <w:b/>
                <w:bCs/>
              </w:rPr>
              <w:t xml:space="preserve"> </w:t>
            </w:r>
          </w:p>
        </w:tc>
      </w:tr>
      <w:tr w:rsidR="009F4211" w14:paraId="37454C6A" w14:textId="77777777" w:rsidTr="00E06043">
        <w:trPr>
          <w:trHeight w:val="340"/>
        </w:trPr>
        <w:tc>
          <w:tcPr>
            <w:tcW w:w="9918" w:type="dxa"/>
            <w:gridSpan w:val="4"/>
            <w:shd w:val="clear" w:color="auto" w:fill="auto"/>
          </w:tcPr>
          <w:p w14:paraId="78C4F704" w14:textId="0F43858B" w:rsidR="009F4211" w:rsidRPr="00D40271" w:rsidRDefault="00D40271" w:rsidP="009F4211">
            <w:pPr>
              <w:pStyle w:val="Prrafodelista"/>
              <w:spacing w:after="0" w:line="276" w:lineRule="auto"/>
              <w:ind w:left="37"/>
              <w:jc w:val="both"/>
              <w:rPr>
                <w:bCs/>
              </w:rPr>
            </w:pPr>
            <w:r>
              <w:rPr>
                <w:bCs/>
              </w:rPr>
              <w:t xml:space="preserve">C. Fernando Barrón Aguayo, </w:t>
            </w:r>
            <w:r w:rsidR="001022D5">
              <w:rPr>
                <w:bCs/>
              </w:rPr>
              <w:t>D</w:t>
            </w:r>
            <w:r w:rsidR="00F22D22">
              <w:rPr>
                <w:bCs/>
              </w:rPr>
              <w:t>irección</w:t>
            </w:r>
            <w:r w:rsidR="001022D5">
              <w:rPr>
                <w:bCs/>
              </w:rPr>
              <w:t xml:space="preserve"> de Administración y Finanzas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D4B75C6" w:rsidR="00B920F2" w:rsidRDefault="00862873" w:rsidP="00521401">
      <w:pPr>
        <w:pStyle w:val="Prrafodelista"/>
        <w:spacing w:after="0" w:line="276" w:lineRule="auto"/>
        <w:ind w:left="142"/>
        <w:jc w:val="both"/>
      </w:pPr>
      <w:r w:rsidRPr="00862873">
        <w:t xml:space="preserve">Contribuir a la mejora del funcionamiento, gestión y organización del Pp </w:t>
      </w:r>
      <w:r w:rsidR="00113F8E">
        <w:t>143</w:t>
      </w:r>
      <w:r>
        <w:t xml:space="preserve"> Planeación, coordinación y gestión para la vivienda en Sinaloa</w:t>
      </w:r>
      <w:r w:rsidRPr="00862873">
        <w:t>, mediante la realización de un análisis y valoración del diseño, los procesos, subprocesos y macro procesos, así como de su operación, fin de generar información que permita orientar su gestión a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8EF13CC" w14:textId="0CE9EED4" w:rsidR="00862873" w:rsidRDefault="00862873" w:rsidP="00862873">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r w:rsidR="000F28CF">
        <w:t>;</w:t>
      </w:r>
    </w:p>
    <w:p w14:paraId="76D74C80" w14:textId="77777777" w:rsidR="00862873" w:rsidRDefault="00862873" w:rsidP="00862873">
      <w:pPr>
        <w:pStyle w:val="Prrafodelista"/>
        <w:numPr>
          <w:ilvl w:val="0"/>
          <w:numId w:val="2"/>
        </w:numPr>
        <w:spacing w:after="0" w:line="276" w:lineRule="auto"/>
        <w:jc w:val="both"/>
      </w:pPr>
      <w:r>
        <w:t>Valorar si la ejecución de los procesos y subprocesos y, en su caso, macroprocesos que integran la gestión operativa del Pp en sus distintos niveles es adecuada para el logro de sus objetivos;</w:t>
      </w:r>
    </w:p>
    <w:p w14:paraId="3C9ED112" w14:textId="77777777" w:rsidR="00862873" w:rsidRDefault="00862873" w:rsidP="00862873">
      <w:pPr>
        <w:pStyle w:val="Prrafodelista"/>
        <w:numPr>
          <w:ilvl w:val="0"/>
          <w:numId w:val="2"/>
        </w:numPr>
        <w:spacing w:after="0" w:line="276" w:lineRule="auto"/>
        <w:jc w:val="both"/>
      </w:pPr>
      <w:r>
        <w:t>Valorar en qué medida los procesos y subprocesos y, en su caso, macroprocesos operativos del Pp son eficaces, oportunos, suficientes y pertinentes para el logro de sus objetivos;</w:t>
      </w:r>
    </w:p>
    <w:p w14:paraId="33C78212" w14:textId="77777777" w:rsidR="00862873" w:rsidRDefault="00862873" w:rsidP="00862873">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07D5C0E9" w14:textId="77777777" w:rsidR="00862873" w:rsidRDefault="00862873" w:rsidP="00862873">
      <w:pPr>
        <w:pStyle w:val="Prrafodelista"/>
        <w:numPr>
          <w:ilvl w:val="0"/>
          <w:numId w:val="2"/>
        </w:numPr>
        <w:spacing w:after="0" w:line="276" w:lineRule="auto"/>
        <w:jc w:val="both"/>
      </w:pPr>
      <w:r>
        <w:t>Identificar, analizar y valorar las buenas prácticas o las fortalezas en la operación del Pp;</w:t>
      </w:r>
    </w:p>
    <w:p w14:paraId="2E56725A" w14:textId="77777777" w:rsidR="00862873" w:rsidRDefault="00862873" w:rsidP="00862873">
      <w:pPr>
        <w:pStyle w:val="Prrafodelista"/>
        <w:numPr>
          <w:ilvl w:val="0"/>
          <w:numId w:val="2"/>
        </w:numPr>
        <w:spacing w:after="0" w:line="276" w:lineRule="auto"/>
        <w:jc w:val="both"/>
      </w:pPr>
      <w:r>
        <w:t>Valorar s3i la estructura organizacional para la operación del Pp es la adecuada de acuerdo con sus objetivos;</w:t>
      </w:r>
    </w:p>
    <w:p w14:paraId="2CCD5C65" w14:textId="3D20C8FB" w:rsidR="009B7088" w:rsidRDefault="00862873" w:rsidP="00862873">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macroprocesos.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7195123"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1022D5">
        <w:t>Específica (procesos con 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rsidRPr="00DD471B" w14:paraId="7F2A577C" w14:textId="77777777" w:rsidTr="0034573D">
        <w:trPr>
          <w:trHeight w:val="576"/>
        </w:trPr>
        <w:tc>
          <w:tcPr>
            <w:tcW w:w="2694" w:type="dxa"/>
            <w:vAlign w:val="center"/>
          </w:tcPr>
          <w:p w14:paraId="4BCD5639" w14:textId="3D4F4D43" w:rsidR="00581B4A" w:rsidRPr="00DD471B" w:rsidRDefault="0034573D" w:rsidP="0034573D">
            <w:pPr>
              <w:spacing w:after="0" w:line="240" w:lineRule="auto"/>
              <w:jc w:val="center"/>
              <w:rPr>
                <w:bCs/>
              </w:rPr>
            </w:pPr>
            <w:r w:rsidRPr="00DD471B">
              <w:rPr>
                <w:bCs/>
              </w:rPr>
              <w:t>X</w:t>
            </w:r>
          </w:p>
        </w:tc>
        <w:tc>
          <w:tcPr>
            <w:tcW w:w="2126" w:type="dxa"/>
            <w:vAlign w:val="center"/>
          </w:tcPr>
          <w:p w14:paraId="1F71ABFD" w14:textId="7440702A" w:rsidR="00581B4A" w:rsidRPr="00DD471B" w:rsidRDefault="0066349A" w:rsidP="00090637">
            <w:pPr>
              <w:spacing w:after="0" w:line="276" w:lineRule="auto"/>
              <w:jc w:val="center"/>
              <w:rPr>
                <w:bCs/>
              </w:rPr>
            </w:pPr>
            <w:r w:rsidRPr="00DD471B">
              <w:rPr>
                <w:bCs/>
              </w:rPr>
              <w:t>X</w:t>
            </w:r>
          </w:p>
        </w:tc>
        <w:tc>
          <w:tcPr>
            <w:tcW w:w="1843" w:type="dxa"/>
            <w:vAlign w:val="center"/>
          </w:tcPr>
          <w:p w14:paraId="66DFD63C" w14:textId="77777777" w:rsidR="00581B4A" w:rsidRPr="00DD471B" w:rsidRDefault="00581B4A" w:rsidP="00090637">
            <w:pPr>
              <w:spacing w:after="0" w:line="276" w:lineRule="auto"/>
              <w:jc w:val="center"/>
              <w:rPr>
                <w:bCs/>
              </w:rPr>
            </w:pPr>
            <w:r w:rsidRPr="00DD471B">
              <w:rPr>
                <w:bCs/>
              </w:rPr>
              <w:t>X</w:t>
            </w:r>
          </w:p>
        </w:tc>
        <w:tc>
          <w:tcPr>
            <w:tcW w:w="3260" w:type="dxa"/>
            <w:vAlign w:val="center"/>
          </w:tcPr>
          <w:p w14:paraId="342AA705" w14:textId="77777777" w:rsidR="00581B4A" w:rsidRPr="00DD471B" w:rsidRDefault="00581B4A" w:rsidP="00090637">
            <w:pPr>
              <w:spacing w:after="0" w:line="276" w:lineRule="auto"/>
              <w:jc w:val="center"/>
              <w:rPr>
                <w:bCs/>
              </w:rPr>
            </w:pPr>
            <w:r w:rsidRPr="00DD471B">
              <w:rPr>
                <w:bCs/>
              </w:rPr>
              <w:t>Esquema de la Evaluación</w:t>
            </w:r>
          </w:p>
          <w:p w14:paraId="635641E2" w14:textId="7CC42169" w:rsidR="00581B4A" w:rsidRPr="00DD471B" w:rsidRDefault="001022D5" w:rsidP="00090637">
            <w:pPr>
              <w:spacing w:after="0" w:line="276" w:lineRule="auto"/>
              <w:jc w:val="center"/>
              <w:rPr>
                <w:bCs/>
              </w:rPr>
            </w:pPr>
            <w:r w:rsidRPr="00DD471B">
              <w:rPr>
                <w:bCs/>
              </w:rPr>
              <w:t>Específica (procesos con 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C120D18" w14:textId="0C86FD32" w:rsidR="004132C8" w:rsidRDefault="004132C8" w:rsidP="004132C8">
      <w:pPr>
        <w:pStyle w:val="Prrafodelista"/>
        <w:numPr>
          <w:ilvl w:val="0"/>
          <w:numId w:val="31"/>
        </w:numPr>
        <w:ind w:left="1134"/>
        <w:jc w:val="both"/>
      </w:pPr>
      <w:r>
        <w:t>No se cuenta con información sobre la perspectiva de género.</w:t>
      </w:r>
    </w:p>
    <w:p w14:paraId="76A64F9A" w14:textId="6B8D2AA8" w:rsidR="00113BCD" w:rsidRPr="002F6A18" w:rsidRDefault="004132C8" w:rsidP="004132C8">
      <w:pPr>
        <w:pStyle w:val="Prrafodelista"/>
        <w:numPr>
          <w:ilvl w:val="0"/>
          <w:numId w:val="31"/>
        </w:numPr>
        <w:ind w:left="1134"/>
        <w:jc w:val="both"/>
      </w:pPr>
      <w:r>
        <w:t>La información de las personas beneficiadas con los bienes y servicios del Programa, no está sistematizada, se almacena en físico o escaneado.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8D3BC79" w:rsidR="00B72B03" w:rsidRDefault="00B72B03" w:rsidP="00975299">
      <w:pPr>
        <w:pStyle w:val="Prrafodelista"/>
        <w:numPr>
          <w:ilvl w:val="2"/>
          <w:numId w:val="5"/>
        </w:numPr>
        <w:spacing w:after="0" w:line="276" w:lineRule="auto"/>
        <w:ind w:left="993" w:hanging="567"/>
        <w:jc w:val="both"/>
        <w:rPr>
          <w:b/>
          <w:bCs/>
        </w:rPr>
      </w:pPr>
      <w:r>
        <w:rPr>
          <w:b/>
          <w:bCs/>
        </w:rPr>
        <w:t>Fortalezas</w:t>
      </w:r>
      <w:r w:rsidR="00DD471B">
        <w:rPr>
          <w:b/>
          <w:bCs/>
        </w:rPr>
        <w:t>:</w:t>
      </w:r>
    </w:p>
    <w:p w14:paraId="605AB874" w14:textId="77777777" w:rsidR="004132C8" w:rsidRDefault="004132C8" w:rsidP="004132C8">
      <w:pPr>
        <w:pStyle w:val="Prrafodelista"/>
        <w:numPr>
          <w:ilvl w:val="0"/>
          <w:numId w:val="8"/>
        </w:numPr>
        <w:spacing w:line="276" w:lineRule="auto"/>
      </w:pPr>
      <w:r>
        <w:t>Capacidad de gestión</w:t>
      </w:r>
    </w:p>
    <w:p w14:paraId="13633626" w14:textId="77777777" w:rsidR="004132C8" w:rsidRDefault="004132C8" w:rsidP="004132C8">
      <w:pPr>
        <w:pStyle w:val="Prrafodelista"/>
        <w:numPr>
          <w:ilvl w:val="0"/>
          <w:numId w:val="8"/>
        </w:numPr>
        <w:spacing w:line="276" w:lineRule="auto"/>
      </w:pPr>
      <w:r>
        <w:t>Coordinación interinstitucional para unificar criterios en el sector vivienda.</w:t>
      </w:r>
    </w:p>
    <w:p w14:paraId="60211AE2" w14:textId="77777777" w:rsidR="004132C8" w:rsidRDefault="004132C8" w:rsidP="004132C8">
      <w:pPr>
        <w:pStyle w:val="Prrafodelista"/>
        <w:numPr>
          <w:ilvl w:val="0"/>
          <w:numId w:val="8"/>
        </w:numPr>
        <w:spacing w:line="276" w:lineRule="auto"/>
      </w:pPr>
      <w:r>
        <w:t>Mantener el nivel de financiamiento de ejercicios anterior.</w:t>
      </w:r>
    </w:p>
    <w:p w14:paraId="0983D7BA" w14:textId="311A6BB2" w:rsidR="00B72B03" w:rsidRPr="00B72B03" w:rsidRDefault="004132C8" w:rsidP="004132C8">
      <w:pPr>
        <w:pStyle w:val="Prrafodelista"/>
        <w:numPr>
          <w:ilvl w:val="0"/>
          <w:numId w:val="8"/>
        </w:numPr>
        <w:spacing w:line="276" w:lineRule="auto"/>
      </w:pPr>
      <w:r w:rsidRPr="004132C8">
        <w:t>Ventanilla directa con la población vulnerable que demanda acciones de vivienda</w:t>
      </w:r>
      <w:r>
        <w:t>.</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545FCF04" w14:textId="64D0A2B0" w:rsidR="00B72B03" w:rsidRDefault="004132C8" w:rsidP="004132C8">
      <w:pPr>
        <w:pStyle w:val="Prrafodelista"/>
        <w:numPr>
          <w:ilvl w:val="0"/>
          <w:numId w:val="8"/>
        </w:numPr>
        <w:spacing w:line="276" w:lineRule="auto"/>
      </w:pPr>
      <w:r w:rsidRPr="004132C8">
        <w:t>Experiencia como ente promotor y ejecutor de programas sociales.</w:t>
      </w:r>
    </w:p>
    <w:p w14:paraId="32FE2EE7" w14:textId="60B0FE72" w:rsidR="004132C8" w:rsidRPr="004132C8" w:rsidRDefault="004132C8" w:rsidP="004132C8">
      <w:pPr>
        <w:pStyle w:val="Prrafodelista"/>
        <w:numPr>
          <w:ilvl w:val="0"/>
          <w:numId w:val="8"/>
        </w:numPr>
        <w:spacing w:line="276" w:lineRule="auto"/>
      </w:pPr>
      <w:r w:rsidRPr="004132C8">
        <w:t>En esta sección de Proceso del Pp, no se contempla alguna oportunidad importante.</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7C2EBBE" w14:textId="54ED4770" w:rsidR="00A165BB" w:rsidRDefault="004132C8" w:rsidP="004132C8">
      <w:pPr>
        <w:pStyle w:val="Prrafodelista"/>
        <w:numPr>
          <w:ilvl w:val="0"/>
          <w:numId w:val="8"/>
        </w:numPr>
        <w:spacing w:line="276" w:lineRule="auto"/>
      </w:pPr>
      <w:r w:rsidRPr="004132C8">
        <w:t>No se cuenta con información que ayude a disminuir las brechas de género.</w:t>
      </w:r>
    </w:p>
    <w:p w14:paraId="2DDA7120" w14:textId="251E1145" w:rsidR="004132C8" w:rsidRDefault="004132C8" w:rsidP="004132C8">
      <w:pPr>
        <w:pStyle w:val="Prrafodelista"/>
        <w:numPr>
          <w:ilvl w:val="0"/>
          <w:numId w:val="8"/>
        </w:numPr>
        <w:spacing w:line="276" w:lineRule="auto"/>
      </w:pPr>
      <w:r w:rsidRPr="004132C8">
        <w:t>El padrón de beneficiarios no está sistematizado.</w:t>
      </w:r>
    </w:p>
    <w:p w14:paraId="0D89427C" w14:textId="757DD083" w:rsidR="004132C8" w:rsidRPr="00A165BB" w:rsidRDefault="004132C8" w:rsidP="004132C8">
      <w:pPr>
        <w:pStyle w:val="Prrafodelista"/>
        <w:numPr>
          <w:ilvl w:val="0"/>
          <w:numId w:val="8"/>
        </w:numPr>
        <w:spacing w:line="276" w:lineRule="auto"/>
      </w:pPr>
      <w:r w:rsidRPr="004132C8">
        <w:t>El padrón de beneficiarios no está sistematizado, son copias y archivo en físico.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29A6EC" w14:textId="5FC0B801" w:rsidR="00A165BB" w:rsidRDefault="004132C8" w:rsidP="004132C8">
      <w:pPr>
        <w:pStyle w:val="Prrafodelista"/>
        <w:numPr>
          <w:ilvl w:val="0"/>
          <w:numId w:val="8"/>
        </w:numPr>
        <w:spacing w:line="276" w:lineRule="auto"/>
      </w:pPr>
      <w:r w:rsidRPr="004132C8">
        <w:t>Carencia de recursos fiscales suficientes para atender a la población vulnerable.</w:t>
      </w:r>
    </w:p>
    <w:p w14:paraId="3EC9FAF3" w14:textId="77777777" w:rsidR="004132C8" w:rsidRDefault="004132C8" w:rsidP="004132C8">
      <w:pPr>
        <w:pStyle w:val="Prrafodelista"/>
        <w:numPr>
          <w:ilvl w:val="0"/>
          <w:numId w:val="8"/>
        </w:numPr>
        <w:spacing w:line="276" w:lineRule="auto"/>
      </w:pPr>
      <w:r>
        <w:t>Falta de reservas territoriales para la demanda de desarrollos habitacionales</w:t>
      </w:r>
    </w:p>
    <w:p w14:paraId="65AD1032" w14:textId="77777777" w:rsidR="004132C8" w:rsidRDefault="004132C8" w:rsidP="004132C8">
      <w:pPr>
        <w:pStyle w:val="Prrafodelista"/>
        <w:numPr>
          <w:ilvl w:val="0"/>
          <w:numId w:val="8"/>
        </w:numPr>
        <w:spacing w:line="276" w:lineRule="auto"/>
      </w:pPr>
      <w:r>
        <w:t>Escenario macroeconómico que desfavorece el sector vivienda</w:t>
      </w:r>
    </w:p>
    <w:p w14:paraId="3B5338CA" w14:textId="77777777" w:rsidR="004132C8" w:rsidRDefault="004132C8" w:rsidP="004132C8">
      <w:pPr>
        <w:pStyle w:val="Prrafodelista"/>
        <w:numPr>
          <w:ilvl w:val="0"/>
          <w:numId w:val="8"/>
        </w:numPr>
        <w:spacing w:line="276" w:lineRule="auto"/>
      </w:pPr>
      <w:r>
        <w:t>Falta de oferta de viviendas para familias de ingresos de 1 a 3 salarios mínimos</w:t>
      </w:r>
    </w:p>
    <w:p w14:paraId="02B66312" w14:textId="77777777" w:rsidR="004132C8" w:rsidRDefault="004132C8" w:rsidP="004132C8">
      <w:pPr>
        <w:pStyle w:val="Prrafodelista"/>
        <w:numPr>
          <w:ilvl w:val="0"/>
          <w:numId w:val="8"/>
        </w:numPr>
        <w:spacing w:line="276" w:lineRule="auto"/>
      </w:pPr>
      <w:r>
        <w:t xml:space="preserve">Asentamientos urbanos en zonas de alto riesgo </w:t>
      </w:r>
    </w:p>
    <w:p w14:paraId="7F5FF4F9" w14:textId="2A035A2B" w:rsidR="004132C8" w:rsidRPr="00C00FBC" w:rsidRDefault="004132C8" w:rsidP="004132C8">
      <w:pPr>
        <w:pStyle w:val="Prrafodelista"/>
        <w:numPr>
          <w:ilvl w:val="0"/>
          <w:numId w:val="8"/>
        </w:numPr>
        <w:spacing w:line="276" w:lineRule="auto"/>
      </w:pPr>
      <w:r>
        <w:t>Hacinamiento de una gran cantidad de personas en condiciones insalubres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498061F3" w:rsidR="00113BCD" w:rsidRDefault="00406B17" w:rsidP="00A4624B">
      <w:pPr>
        <w:spacing w:after="0" w:line="276" w:lineRule="auto"/>
        <w:ind w:left="284"/>
        <w:jc w:val="both"/>
        <w:rPr>
          <w:lang w:val="es-ES"/>
        </w:rPr>
      </w:pPr>
      <w:r w:rsidRPr="00406B17">
        <w:rPr>
          <w:lang w:val="es-ES"/>
        </w:rPr>
        <w:t>En términos generales las acciones, procesos y proyectos implementados por la Comisión de Vivienda del Estado de Sinaloa , permiten un ejercicio razonable de los recursos; sin embargo, es necesario definir una estrategia que le permita al Programa realizar una adecuada y oportuna asignación de recursos ampliar la cobertura de acciones de vivienda y para adquisición de nueva tecnología, con la finalidad de cubrir de manera más eficiente los requerimientos de atención a la población vulnerable en el estado.</w:t>
      </w:r>
    </w:p>
    <w:p w14:paraId="2ADAC020" w14:textId="25095B47" w:rsidR="00675D70" w:rsidRDefault="00675D70">
      <w:pPr>
        <w:spacing w:after="0" w:line="240" w:lineRule="auto"/>
      </w:pPr>
      <w:r>
        <w:br w:type="page"/>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17F778AB" w14:textId="615B69A3" w:rsidR="00406B17" w:rsidRDefault="00406B17" w:rsidP="00406B17">
      <w:pPr>
        <w:pStyle w:val="Prrafodelista"/>
        <w:numPr>
          <w:ilvl w:val="0"/>
          <w:numId w:val="32"/>
        </w:numPr>
        <w:spacing w:after="0" w:line="240" w:lineRule="auto"/>
        <w:jc w:val="both"/>
        <w:rPr>
          <w:rFonts w:asciiTheme="minorHAnsi" w:hAnsiTheme="minorHAnsi" w:cstheme="minorHAnsi"/>
          <w:szCs w:val="20"/>
        </w:rPr>
      </w:pPr>
      <w:r w:rsidRPr="00313FA2">
        <w:rPr>
          <w:rFonts w:asciiTheme="minorHAnsi" w:hAnsiTheme="minorHAnsi" w:cstheme="minorHAnsi"/>
          <w:szCs w:val="20"/>
        </w:rPr>
        <w:t>En las solicitudes que tiene que llenar el usuario solicitante de servicios de vivienda, agregar el sexo de la persona, como obligatorio, para</w:t>
      </w:r>
      <w:r>
        <w:rPr>
          <w:rFonts w:asciiTheme="minorHAnsi" w:hAnsiTheme="minorHAnsi" w:cstheme="minorHAnsi"/>
          <w:szCs w:val="20"/>
        </w:rPr>
        <w:t xml:space="preserve"> </w:t>
      </w:r>
      <w:r w:rsidR="0066349A">
        <w:rPr>
          <w:rFonts w:asciiTheme="minorHAnsi" w:hAnsiTheme="minorHAnsi" w:cstheme="minorHAnsi"/>
          <w:szCs w:val="20"/>
        </w:rPr>
        <w:t>que,</w:t>
      </w:r>
      <w:r w:rsidRPr="00313FA2">
        <w:rPr>
          <w:rFonts w:asciiTheme="minorHAnsi" w:hAnsiTheme="minorHAnsi" w:cstheme="minorHAnsi"/>
          <w:szCs w:val="20"/>
        </w:rPr>
        <w:t xml:space="preserve"> al hacer el resumen, se pueda determinar los usuarios atendidos hombres y usuarios atendidos mujeres.</w:t>
      </w:r>
    </w:p>
    <w:p w14:paraId="516093B4" w14:textId="77777777" w:rsidR="00406B17" w:rsidRPr="00313FA2" w:rsidRDefault="00406B17" w:rsidP="00406B17">
      <w:pPr>
        <w:pStyle w:val="Prrafodelista"/>
        <w:numPr>
          <w:ilvl w:val="0"/>
          <w:numId w:val="32"/>
        </w:numPr>
        <w:spacing w:after="0" w:line="240" w:lineRule="auto"/>
        <w:jc w:val="both"/>
        <w:rPr>
          <w:rFonts w:asciiTheme="minorHAnsi" w:hAnsiTheme="minorHAnsi" w:cstheme="minorHAnsi"/>
          <w:szCs w:val="20"/>
        </w:rPr>
      </w:pPr>
      <w:r w:rsidRPr="00313FA2">
        <w:rPr>
          <w:rFonts w:asciiTheme="minorHAnsi" w:hAnsiTheme="minorHAnsi" w:cstheme="minorHAnsi"/>
          <w:szCs w:val="20"/>
        </w:rPr>
        <w:t xml:space="preserve">Modificar los sistemas de información, para que el registro de usuario y pueda formarse un padrón de los mismos por ejercicio y por el tipo de acción de vivienda, que además de hacerlo en papel, se pueda registrar en el sistema de plataforma digital. </w:t>
      </w:r>
    </w:p>
    <w:p w14:paraId="05A9A3F2" w14:textId="47EC3586" w:rsidR="00406B17" w:rsidRPr="00313FA2" w:rsidRDefault="00406B17" w:rsidP="00406B17">
      <w:pPr>
        <w:pStyle w:val="Prrafodelista"/>
        <w:numPr>
          <w:ilvl w:val="0"/>
          <w:numId w:val="32"/>
        </w:numPr>
        <w:spacing w:after="0" w:line="240" w:lineRule="auto"/>
        <w:jc w:val="both"/>
        <w:rPr>
          <w:rFonts w:asciiTheme="minorHAnsi" w:hAnsiTheme="minorHAnsi" w:cstheme="minorHAnsi"/>
          <w:szCs w:val="20"/>
        </w:rPr>
      </w:pPr>
      <w:r w:rsidRPr="00313FA2">
        <w:rPr>
          <w:rFonts w:asciiTheme="minorHAnsi" w:hAnsiTheme="minorHAnsi" w:cstheme="minorHAnsi"/>
          <w:szCs w:val="20"/>
        </w:rPr>
        <w:t>Promover acuerdos con la Secretaria de Bienestar y Desarrollo Sustentable Sinaloa</w:t>
      </w:r>
      <w:r w:rsidR="00FB332F">
        <w:rPr>
          <w:rFonts w:asciiTheme="minorHAnsi" w:hAnsiTheme="minorHAnsi" w:cstheme="minorHAnsi"/>
          <w:szCs w:val="20"/>
        </w:rPr>
        <w:t xml:space="preserve"> </w:t>
      </w:r>
      <w:r w:rsidRPr="00313FA2">
        <w:rPr>
          <w:rFonts w:asciiTheme="minorHAnsi" w:hAnsiTheme="minorHAnsi" w:cstheme="minorHAnsi"/>
          <w:szCs w:val="20"/>
        </w:rPr>
        <w:t>(SEBIDES), para que la Comisión de Vivienda del Estado de Sinaloa, como integrante del sector de SEBIDES, pueda ejercer en su nombre el presupuesto que le asignen para realizar acciones de vivienda y así cumplir de una manera más amplia con el objeto social para la que fue creada.</w:t>
      </w:r>
    </w:p>
    <w:p w14:paraId="0BF57653" w14:textId="77777777" w:rsidR="00406B17" w:rsidRPr="00313FA2" w:rsidRDefault="00406B17" w:rsidP="00406B17">
      <w:pPr>
        <w:pStyle w:val="Prrafodelista"/>
        <w:numPr>
          <w:ilvl w:val="0"/>
          <w:numId w:val="32"/>
        </w:numPr>
        <w:spacing w:after="0" w:line="240" w:lineRule="auto"/>
        <w:jc w:val="both"/>
        <w:rPr>
          <w:rFonts w:asciiTheme="minorHAnsi" w:hAnsiTheme="minorHAnsi" w:cstheme="minorHAnsi"/>
          <w:szCs w:val="20"/>
        </w:rPr>
      </w:pPr>
      <w:r w:rsidRPr="00313FA2">
        <w:rPr>
          <w:rFonts w:asciiTheme="minorHAnsi" w:hAnsiTheme="minorHAnsi" w:cstheme="minorHAnsi"/>
          <w:szCs w:val="20"/>
        </w:rPr>
        <w:t>Elaborar un estudio sobre el ordenamiento territorial en el Estado de Sinaloa, con el objeto de proponer al mismo, la adquisición de reservas territoriales aptas para el desarrollo de vivienda en los diferentes municipios.</w:t>
      </w:r>
    </w:p>
    <w:p w14:paraId="5D18357A" w14:textId="15722551" w:rsidR="00406B17" w:rsidRPr="00406B17" w:rsidRDefault="00406B17" w:rsidP="00406B17">
      <w:pPr>
        <w:pStyle w:val="Prrafodelista"/>
        <w:numPr>
          <w:ilvl w:val="0"/>
          <w:numId w:val="32"/>
        </w:numPr>
        <w:spacing w:after="0" w:line="240" w:lineRule="auto"/>
        <w:jc w:val="both"/>
        <w:rPr>
          <w:rFonts w:asciiTheme="minorHAnsi" w:hAnsiTheme="minorHAnsi" w:cstheme="minorHAnsi"/>
          <w:szCs w:val="20"/>
        </w:rPr>
      </w:pPr>
      <w:r w:rsidRPr="00313FA2">
        <w:rPr>
          <w:rFonts w:asciiTheme="minorHAnsi" w:hAnsiTheme="minorHAnsi" w:cstheme="minorHAnsi"/>
          <w:szCs w:val="20"/>
        </w:rPr>
        <w:t>Gestionar ante INFONAVIT y otras dependencias federales dedicadas a la vivienda de interés social, un programa especial para atraer recursos a Sinaloa, para vivienda de 1 a 3 salarios mininos.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27A87B27" w:rsidR="006E538E" w:rsidRPr="00133709" w:rsidRDefault="004132C8" w:rsidP="006E538E">
            <w:pPr>
              <w:spacing w:after="0" w:line="276" w:lineRule="auto"/>
              <w:ind w:left="179"/>
            </w:pPr>
            <w:r w:rsidRPr="004132C8">
              <w:t>C.P.C. Francisco Javier Ames Cebreros</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50571643" w:rsidR="006E538E" w:rsidRPr="00133709" w:rsidRDefault="004132C8" w:rsidP="004132C8">
            <w:pPr>
              <w:spacing w:after="0" w:line="276" w:lineRule="auto"/>
              <w:ind w:left="179"/>
            </w:pPr>
            <w:r w:rsidRPr="0066349A">
              <w:t>Socio y Director General</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66FE8C56" w:rsidR="006E538E" w:rsidRPr="00133709" w:rsidRDefault="004132C8" w:rsidP="006E538E">
            <w:pPr>
              <w:spacing w:after="0" w:line="276" w:lineRule="auto"/>
              <w:ind w:left="179"/>
            </w:pPr>
            <w:r>
              <w:t>Chávez, Ames y CIA, S.C.</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5B2B936C" w:rsidR="006E538E" w:rsidRPr="00133709" w:rsidRDefault="004132C8" w:rsidP="006E538E">
            <w:pPr>
              <w:spacing w:after="0" w:line="276" w:lineRule="auto"/>
              <w:ind w:left="179"/>
            </w:pPr>
            <w:r w:rsidRPr="004132C8">
              <w:t xml:space="preserve">C.P. Alejandro Ballesteros Meza y Lic. </w:t>
            </w:r>
            <w:r w:rsidR="00675D70" w:rsidRPr="004132C8">
              <w:t>Fernando Zamudio</w:t>
            </w:r>
            <w:r w:rsidRPr="004132C8">
              <w:t xml:space="preserve"> Trujillo</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2E8F217A" w:rsidR="006E538E" w:rsidRPr="00133709" w:rsidRDefault="00113F8E" w:rsidP="006E538E">
            <w:pPr>
              <w:spacing w:after="0" w:line="276" w:lineRule="auto"/>
              <w:ind w:left="179"/>
            </w:pPr>
            <w:hyperlink r:id="rId8" w:history="1">
              <w:r w:rsidRPr="00F95658">
                <w:rPr>
                  <w:rStyle w:val="Hipervnculo"/>
                </w:rPr>
                <w:t>ames@mgichavezames.com</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04ECD53A" w:rsidR="006E538E" w:rsidRPr="00133709" w:rsidRDefault="00113F8E" w:rsidP="006E538E">
            <w:pPr>
              <w:spacing w:after="0" w:line="276" w:lineRule="auto"/>
              <w:ind w:left="179"/>
            </w:pPr>
            <w:r>
              <w:t>(667)713-81-72</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6F3F36B1" w:rsidR="007C4CD6" w:rsidRPr="00521401" w:rsidRDefault="00113F8E" w:rsidP="00521401">
            <w:pPr>
              <w:spacing w:after="0" w:line="276" w:lineRule="auto"/>
              <w:ind w:left="179"/>
            </w:pPr>
            <w:r w:rsidRPr="00113F8E">
              <w:t>Planeación, Coordinación y Gestión para la Vivienda en Sinaloa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76258A12" w:rsidR="007C4CD6" w:rsidRPr="007C4CD6" w:rsidRDefault="00113F8E" w:rsidP="00521401">
            <w:pPr>
              <w:spacing w:after="0" w:line="276" w:lineRule="auto"/>
              <w:ind w:left="179"/>
            </w:pPr>
            <w:r w:rsidRPr="00FB332F">
              <w:t>PCGVS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B4531B0" w:rsidR="007C4CD6" w:rsidRPr="007C4CD6" w:rsidRDefault="00113F8E" w:rsidP="00521401">
            <w:pPr>
              <w:spacing w:after="0" w:line="276" w:lineRule="auto"/>
              <w:ind w:left="179"/>
            </w:pPr>
            <w:r>
              <w:t>Comisión de Vivienda del Estado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B44062C" w:rsidR="005A28B9" w:rsidRPr="00A16BE7" w:rsidRDefault="00F22D22"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lastRenderedPageBreak/>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5767A68A" w:rsidR="00090637" w:rsidRPr="00090637" w:rsidRDefault="00F22D22"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56CDCF51" w:rsidR="005065B9" w:rsidRPr="00521401" w:rsidRDefault="0066349A" w:rsidP="005065B9">
            <w:pPr>
              <w:spacing w:after="0" w:line="276" w:lineRule="auto"/>
              <w:ind w:left="179"/>
            </w:pPr>
            <w:r>
              <w:t xml:space="preserve">C.P.  </w:t>
            </w:r>
            <w:r w:rsidR="00F22D22">
              <w:t>Fernando Barrón Aguayo</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2E31C8D1" w:rsidR="00A4624B" w:rsidRPr="007301C5" w:rsidRDefault="00F22D22" w:rsidP="00F22D22">
            <w:pPr>
              <w:tabs>
                <w:tab w:val="left" w:pos="1859"/>
              </w:tabs>
              <w:spacing w:after="0" w:line="276" w:lineRule="auto"/>
              <w:ind w:left="179"/>
            </w:pPr>
            <w:r>
              <w:t>Fernando.barron@sinaloa.gob.mx</w:t>
            </w:r>
            <w:r w:rsidRPr="00F22D22">
              <w:tab/>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6D5A47C2" w:rsidR="004E1FF7" w:rsidRPr="007301C5" w:rsidRDefault="00F22D22" w:rsidP="00F22D22">
            <w:pPr>
              <w:spacing w:after="0" w:line="276" w:lineRule="auto"/>
              <w:ind w:left="179"/>
            </w:pPr>
            <w:r>
              <w:t>Dirección de Administración y Finanzas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76FDC3E4" w:rsidR="004E1FF7" w:rsidRPr="007301C5" w:rsidRDefault="00F22D22" w:rsidP="004E1FF7">
            <w:pPr>
              <w:spacing w:after="0" w:line="276" w:lineRule="auto"/>
              <w:ind w:left="179"/>
            </w:pPr>
            <w:r>
              <w:t>(667)714-40-40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A8999BA" w:rsidR="00A06CEF" w:rsidRPr="00866990" w:rsidRDefault="00F22D22" w:rsidP="00A06CEF">
            <w:pPr>
              <w:spacing w:after="0" w:line="276" w:lineRule="auto"/>
            </w:pPr>
            <w:r>
              <w:t>X (Cotización a cuando menos 3 proveedores)</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EA35D66" w:rsidR="00090637" w:rsidRPr="00866990" w:rsidRDefault="0066349A" w:rsidP="00521401">
            <w:pPr>
              <w:spacing w:after="0" w:line="276" w:lineRule="auto"/>
              <w:ind w:left="179"/>
            </w:pPr>
            <w:r>
              <w:t>Dirección de Administración y Finanzas</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156E9788" w:rsidR="00090637" w:rsidRPr="00866990" w:rsidRDefault="00C61D21" w:rsidP="00521401">
            <w:pPr>
              <w:spacing w:after="0" w:line="276" w:lineRule="auto"/>
              <w:ind w:left="179"/>
            </w:pPr>
            <w:r w:rsidRPr="00866990">
              <w:t>$</w:t>
            </w:r>
            <w:r w:rsidR="00F22D22">
              <w:t xml:space="preserve"> 95,120.00 IVA Incluido</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57267DA5" w:rsidR="004C435E" w:rsidRPr="00866990" w:rsidRDefault="00675D70" w:rsidP="0066349A">
            <w:pPr>
              <w:spacing w:after="0" w:line="276" w:lineRule="auto"/>
            </w:pPr>
            <w:r>
              <w:t xml:space="preserve">   </w:t>
            </w:r>
            <w:r w:rsidR="0066349A" w:rsidRPr="00FB332F">
              <w:t>Recursos Propios</w:t>
            </w:r>
            <w:r w:rsidR="00FB332F" w:rsidRPr="00FB332F">
              <w:t xml:space="preserve"> y Fiscales</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9"/>
      <w:footerReference w:type="default" r:id="rId10"/>
      <w:headerReference w:type="first" r:id="rId11"/>
      <w:footerReference w:type="first" r:id="rId12"/>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1FDC" w14:textId="77777777" w:rsidR="00CF4B76" w:rsidRDefault="00CF4B76" w:rsidP="008E5209">
      <w:pPr>
        <w:spacing w:after="0" w:line="240" w:lineRule="auto"/>
      </w:pPr>
      <w:r>
        <w:separator/>
      </w:r>
    </w:p>
  </w:endnote>
  <w:endnote w:type="continuationSeparator" w:id="0">
    <w:p w14:paraId="74693ED2" w14:textId="77777777" w:rsidR="00CF4B76" w:rsidRDefault="00CF4B76"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3CC87DED"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6349A">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07CB4A3"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6349A" w:rsidRPr="0066349A">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2EB6" w14:textId="77777777" w:rsidR="00CF4B76" w:rsidRDefault="00CF4B76" w:rsidP="008E5209">
      <w:pPr>
        <w:spacing w:after="0" w:line="240" w:lineRule="auto"/>
      </w:pPr>
      <w:r>
        <w:separator/>
      </w:r>
    </w:p>
  </w:footnote>
  <w:footnote w:type="continuationSeparator" w:id="0">
    <w:p w14:paraId="5F6B47E1" w14:textId="77777777" w:rsidR="00CF4B76" w:rsidRDefault="00CF4B76"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2B837494"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984C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95811273" o:spid="_x0000_i1025" type="#_x0000_t75" style="width:567pt;height:595.5pt;visibility:visible;mso-wrap-style:square">
            <v:imagedata r:id="rId1" o:title=""/>
          </v:shape>
        </w:pict>
      </mc:Choice>
      <mc:Fallback>
        <w:drawing>
          <wp:inline distT="0" distB="0" distL="0" distR="0" wp14:anchorId="507C24B5">
            <wp:extent cx="7200900" cy="7562850"/>
            <wp:effectExtent l="0" t="0" r="0" b="0"/>
            <wp:docPr id="895811273" name="Imagen 8958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0" cy="7562850"/>
                    </a:xfrm>
                    <a:prstGeom prst="rect">
                      <a:avLst/>
                    </a:prstGeom>
                    <a:noFill/>
                    <a:ln>
                      <a:noFill/>
                    </a:ln>
                  </pic:spPr>
                </pic:pic>
              </a:graphicData>
            </a:graphic>
          </wp:inline>
        </w:drawing>
      </mc:Fallback>
    </mc:AlternateContent>
  </w:numPicBullet>
  <w:numPicBullet w:numPicBulletId="1">
    <mc:AlternateContent>
      <mc:Choice Requires="v">
        <w:pict>
          <v:shape w14:anchorId="500415CD" id="Imagen 1057958773" o:spid="_x0000_i1025" type="#_x0000_t75" style="width:282pt;height:297pt;visibility:visible;mso-wrap-style:square">
            <v:imagedata r:id="rId3" o:title=""/>
          </v:shape>
        </w:pict>
      </mc:Choice>
      <mc:Fallback>
        <w:drawing>
          <wp:inline distT="0" distB="0" distL="0" distR="0" wp14:anchorId="7490B0A1">
            <wp:extent cx="3581400" cy="3771900"/>
            <wp:effectExtent l="0" t="0" r="0" b="0"/>
            <wp:docPr id="1057958773" name="Imagen 105795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3771900"/>
                    </a:xfrm>
                    <a:prstGeom prst="rect">
                      <a:avLst/>
                    </a:prstGeom>
                    <a:noFill/>
                    <a:ln>
                      <a:noFill/>
                    </a:ln>
                  </pic:spPr>
                </pic:pic>
              </a:graphicData>
            </a:graphic>
          </wp:inline>
        </w:drawing>
      </mc:Fallback>
    </mc:AlternateConten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6F170C7"/>
    <w:multiLevelType w:val="hybridMultilevel"/>
    <w:tmpl w:val="A530A5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7A24F06"/>
    <w:multiLevelType w:val="hybridMultilevel"/>
    <w:tmpl w:val="AADAE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7"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655232141">
    <w:abstractNumId w:val="25"/>
  </w:num>
  <w:num w:numId="2" w16cid:durableId="855538875">
    <w:abstractNumId w:val="23"/>
  </w:num>
  <w:num w:numId="3" w16cid:durableId="1488863718">
    <w:abstractNumId w:val="9"/>
  </w:num>
  <w:num w:numId="4" w16cid:durableId="1043942344">
    <w:abstractNumId w:val="21"/>
  </w:num>
  <w:num w:numId="5" w16cid:durableId="64184198">
    <w:abstractNumId w:val="3"/>
    <w:lvlOverride w:ilvl="1">
      <w:lvl w:ilvl="1">
        <w:start w:val="1"/>
        <w:numFmt w:val="decimal"/>
        <w:lvlText w:val="%1.%2."/>
        <w:lvlJc w:val="left"/>
        <w:pPr>
          <w:ind w:left="792" w:hanging="432"/>
        </w:pPr>
        <w:rPr>
          <w:b/>
          <w:bCs/>
        </w:rPr>
      </w:lvl>
    </w:lvlOverride>
  </w:num>
  <w:num w:numId="6" w16cid:durableId="1212811187">
    <w:abstractNumId w:val="29"/>
  </w:num>
  <w:num w:numId="7" w16cid:durableId="1215388655">
    <w:abstractNumId w:val="30"/>
  </w:num>
  <w:num w:numId="8" w16cid:durableId="846873288">
    <w:abstractNumId w:val="31"/>
  </w:num>
  <w:num w:numId="9" w16cid:durableId="2010214933">
    <w:abstractNumId w:val="22"/>
  </w:num>
  <w:num w:numId="10" w16cid:durableId="1553688267">
    <w:abstractNumId w:val="14"/>
  </w:num>
  <w:num w:numId="11" w16cid:durableId="1254319715">
    <w:abstractNumId w:val="16"/>
  </w:num>
  <w:num w:numId="12" w16cid:durableId="1349022908">
    <w:abstractNumId w:val="28"/>
  </w:num>
  <w:num w:numId="13" w16cid:durableId="456722674">
    <w:abstractNumId w:val="27"/>
  </w:num>
  <w:num w:numId="14" w16cid:durableId="855390492">
    <w:abstractNumId w:val="24"/>
  </w:num>
  <w:num w:numId="15" w16cid:durableId="202862131">
    <w:abstractNumId w:val="18"/>
  </w:num>
  <w:num w:numId="16" w16cid:durableId="1496654376">
    <w:abstractNumId w:val="6"/>
  </w:num>
  <w:num w:numId="17" w16cid:durableId="436365312">
    <w:abstractNumId w:val="8"/>
  </w:num>
  <w:num w:numId="18" w16cid:durableId="919096684">
    <w:abstractNumId w:val="19"/>
  </w:num>
  <w:num w:numId="19" w16cid:durableId="987397999">
    <w:abstractNumId w:val="17"/>
  </w:num>
  <w:num w:numId="20" w16cid:durableId="1510556592">
    <w:abstractNumId w:val="7"/>
  </w:num>
  <w:num w:numId="21" w16cid:durableId="275917472">
    <w:abstractNumId w:val="4"/>
  </w:num>
  <w:num w:numId="22" w16cid:durableId="693389468">
    <w:abstractNumId w:val="15"/>
  </w:num>
  <w:num w:numId="23" w16cid:durableId="407923980">
    <w:abstractNumId w:val="26"/>
  </w:num>
  <w:num w:numId="24" w16cid:durableId="491337758">
    <w:abstractNumId w:val="13"/>
  </w:num>
  <w:num w:numId="25" w16cid:durableId="1933197111">
    <w:abstractNumId w:val="20"/>
  </w:num>
  <w:num w:numId="26" w16cid:durableId="1247572164">
    <w:abstractNumId w:val="10"/>
  </w:num>
  <w:num w:numId="27" w16cid:durableId="188228222">
    <w:abstractNumId w:val="12"/>
  </w:num>
  <w:num w:numId="28" w16cid:durableId="498930312">
    <w:abstractNumId w:val="0"/>
  </w:num>
  <w:num w:numId="29" w16cid:durableId="1752193602">
    <w:abstractNumId w:val="11"/>
  </w:num>
  <w:num w:numId="30" w16cid:durableId="1822844368">
    <w:abstractNumId w:val="2"/>
  </w:num>
  <w:num w:numId="31" w16cid:durableId="1716002977">
    <w:abstractNumId w:val="1"/>
  </w:num>
  <w:num w:numId="32" w16cid:durableId="15774704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14B2"/>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8CF"/>
    <w:rsid w:val="000F2D60"/>
    <w:rsid w:val="000F3AF6"/>
    <w:rsid w:val="000F3C9A"/>
    <w:rsid w:val="000F6061"/>
    <w:rsid w:val="001022D5"/>
    <w:rsid w:val="00102E69"/>
    <w:rsid w:val="00107559"/>
    <w:rsid w:val="00110F36"/>
    <w:rsid w:val="00113BCD"/>
    <w:rsid w:val="00113F8E"/>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06B17"/>
    <w:rsid w:val="004132C8"/>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49A"/>
    <w:rsid w:val="00663E64"/>
    <w:rsid w:val="00666BE5"/>
    <w:rsid w:val="00671A91"/>
    <w:rsid w:val="00675D70"/>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1745"/>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287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56A2B"/>
    <w:rsid w:val="0096110F"/>
    <w:rsid w:val="00975299"/>
    <w:rsid w:val="009768FB"/>
    <w:rsid w:val="0098143F"/>
    <w:rsid w:val="00983315"/>
    <w:rsid w:val="009909AC"/>
    <w:rsid w:val="00993CFE"/>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0A57"/>
    <w:rsid w:val="00A564F9"/>
    <w:rsid w:val="00A6065A"/>
    <w:rsid w:val="00A609A3"/>
    <w:rsid w:val="00A62C84"/>
    <w:rsid w:val="00A631C2"/>
    <w:rsid w:val="00A63712"/>
    <w:rsid w:val="00A65303"/>
    <w:rsid w:val="00A65C5E"/>
    <w:rsid w:val="00A70556"/>
    <w:rsid w:val="00A7110A"/>
    <w:rsid w:val="00A7319B"/>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662B9"/>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55D3"/>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532D"/>
    <w:rsid w:val="00C96DA9"/>
    <w:rsid w:val="00CA0268"/>
    <w:rsid w:val="00CA02AC"/>
    <w:rsid w:val="00CA10FD"/>
    <w:rsid w:val="00CB6CF8"/>
    <w:rsid w:val="00CC06EA"/>
    <w:rsid w:val="00CC489F"/>
    <w:rsid w:val="00CC7BC4"/>
    <w:rsid w:val="00CD34D2"/>
    <w:rsid w:val="00CF4B76"/>
    <w:rsid w:val="00CF511B"/>
    <w:rsid w:val="00CF57AE"/>
    <w:rsid w:val="00D00AAC"/>
    <w:rsid w:val="00D10D79"/>
    <w:rsid w:val="00D1436F"/>
    <w:rsid w:val="00D15AF3"/>
    <w:rsid w:val="00D16047"/>
    <w:rsid w:val="00D21605"/>
    <w:rsid w:val="00D2217D"/>
    <w:rsid w:val="00D222DC"/>
    <w:rsid w:val="00D27992"/>
    <w:rsid w:val="00D31A79"/>
    <w:rsid w:val="00D33ED2"/>
    <w:rsid w:val="00D40271"/>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D471B"/>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1F17"/>
    <w:rsid w:val="00ED2843"/>
    <w:rsid w:val="00EE32E3"/>
    <w:rsid w:val="00F0320D"/>
    <w:rsid w:val="00F16821"/>
    <w:rsid w:val="00F16885"/>
    <w:rsid w:val="00F22D22"/>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332F"/>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s@mgichavezam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C58A-66FB-4427-B0A9-EF5F6530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110</TotalTime>
  <Pages>4</Pages>
  <Words>1291</Words>
  <Characters>7102</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28</cp:revision>
  <cp:lastPrinted>2022-06-17T19:35:00Z</cp:lastPrinted>
  <dcterms:created xsi:type="dcterms:W3CDTF">2022-12-06T19:20:00Z</dcterms:created>
  <dcterms:modified xsi:type="dcterms:W3CDTF">2025-03-10T18:23:00Z</dcterms:modified>
</cp:coreProperties>
</file>